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4"/>
        <w:spacing w:before="200" w:after="0"/>
        <w:rPr/>
      </w:pPr>
      <w:r>
        <w:rPr>
          <w:lang w:val="fr-FR"/>
        </w:rPr>
        <w:t>Questions / réponses</w:t>
      </w:r>
    </w:p>
    <w:p>
      <w:pPr>
        <w:pStyle w:val="TextBody"/>
        <w:spacing w:before="240" w:after="120"/>
        <w:rPr>
          <w:rStyle w:val="SubtleEmphasis"/>
          <w:color w:val="00000A"/>
          <w:lang w:val="fr-FR"/>
        </w:rPr>
      </w:pPr>
      <w:r>
        <w:rPr>
          <w:rStyle w:val="SubtleEmphasis"/>
          <w:color w:val="00000A"/>
          <w:lang w:val="fr-FR"/>
        </w:rPr>
        <w:t>Référence Internet : SSC.04.120</w:t>
      </w:r>
    </w:p>
    <w:p>
      <w:pPr>
        <w:pStyle w:val="TextBody"/>
        <w:spacing w:before="240" w:after="120"/>
        <w:rPr>
          <w:rFonts w:ascii="Calibri" w:hAnsi="Calibri"/>
          <w:color w:val="000000"/>
          <w:sz w:val="29"/>
          <w:lang w:val="fr-FR"/>
        </w:rPr>
      </w:pPr>
      <w:r>
        <w:rPr>
          <w:rFonts w:ascii="Calibri" w:hAnsi="Calibri"/>
          <w:color w:val="000000"/>
          <w:sz w:val="29"/>
          <w:lang w:val="fr-FR"/>
        </w:rPr>
      </w:r>
    </w:p>
    <w:p>
      <w:pPr>
        <w:pStyle w:val="TextBody"/>
        <w:spacing w:lineRule="atLeast" w:line="100" w:before="0" w:after="200"/>
        <w:rPr/>
      </w:pPr>
      <w:r>
        <w:rPr>
          <w:rFonts w:ascii="Calibri" w:hAnsi="Calibri"/>
          <w:b/>
          <w:sz w:val="40"/>
          <w:szCs w:val="40"/>
          <w:lang w:val="fr-FR"/>
        </w:rPr>
        <w:t>Comment le CSE peut-il participer à l’enrichissement du document unique ?</w:t>
      </w:r>
    </w:p>
    <w:p>
      <w:pPr>
        <w:pStyle w:val="TextBody"/>
        <w:spacing w:lineRule="atLeast" w:line="100" w:before="0" w:after="200"/>
        <w:rPr>
          <w:rFonts w:ascii="Calibri" w:hAnsi="Calibri"/>
          <w:b/>
          <w:b/>
          <w:color w:val="000000"/>
          <w:sz w:val="23"/>
          <w:lang w:val="fr-FR"/>
        </w:rPr>
      </w:pPr>
      <w:r>
        <w:rPr>
          <w:rFonts w:ascii="Calibri" w:hAnsi="Calibri"/>
          <w:b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Réponse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Au-delà des mises à jour annuelles ou ponctuelles qui sont imposées par la réglementation, le CSE doit, dans le cadre d’une démarche participative, signaler à l’employeur l’existence d’une situation qui nécessiterait d’être prise en compte dans le cadre de l’évaluation des risques.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Concrètement il s’agit de signaler :</w:t>
      </w:r>
    </w:p>
    <w:p>
      <w:pPr>
        <w:numPr>
          <w:ilvl w:val="0"/>
          <w:numId w:val="41417067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« presque accidents » constatés dans l’entreprise ;</w:t>
      </w:r>
    </w:p>
    <w:p>
      <w:pPr>
        <w:numPr>
          <w:ilvl w:val="0"/>
          <w:numId w:val="41417067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constats lors des revues de sécurité sur les actes et conditions dangereuses ;</w:t>
      </w:r>
    </w:p>
    <w:p>
      <w:pPr>
        <w:numPr>
          <w:ilvl w:val="0"/>
          <w:numId w:val="41417067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constats de terrain des salariés qui auront été préalablement sensibilisés à la culture sécurité et la remontée de presque accidents, de situations, d'actes dangereux.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Le CSE a un rôle crucial dans la mesure où il assure l’interface entre les remontées des salariés et l’employeur.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Permettre à l’employeur d’enrichir le document unique et de prendre en compte ces situations constitue en effet le cœur de sa mission santé-sécurité, et ce, quelle que soit la taille de l’entreprise.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Depuis le 31 mars 2022, le CSE doit obligatoirement être consulté sur le document unique d'évaluation des risques professionnels en lui-même et sur ses mises à jour.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 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Intervention des RP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Textes officiels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b/>
          <w:b/>
          <w:color w:val="E85412"/>
          <w:sz w:val="32"/>
          <w:szCs w:val="32"/>
          <w:lang w:val="fr-FR"/>
        </w:rPr>
      </w:pPr>
      <w:r>
        <w:rPr>
          <w:rFonts w:ascii="Calibri" w:hAnsi="Calibri"/>
          <w:b/>
          <w:color w:val="E85412"/>
          <w:sz w:val="32"/>
          <w:szCs w:val="32"/>
          <w:lang w:val="fr-FR"/>
        </w:rPr>
        <w:t>Contenus connexes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SSC.04.100 - Dans quelles conditions le document unique doit-il être mis à jour ?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SSC.04.110 - Comment définir si une décision d’aménagement justifie la mise à jour du document unique ?</w:t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rPr>
          <w:rFonts w:ascii="Calibri" w:hAnsi="Calibri"/>
          <w:color w:val="000000"/>
          <w:sz w:val="23"/>
          <w:lang w:val="fr-FR"/>
        </w:rPr>
      </w:pPr>
      <w:r>
        <w:rPr>
          <w:rFonts w:ascii="Calibri" w:hAnsi="Calibri"/>
          <w:color w:val="000000"/>
          <w:sz w:val="23"/>
          <w:lang w:val="fr-FR"/>
        </w:rPr>
      </w:r>
    </w:p>
    <w:p>
      <w:pPr>
        <w:pStyle w:val="TextBody"/>
        <w:spacing w:before="0" w:after="120"/>
        <w:rPr/>
      </w:pPr>
      <w:r>
        <w:rPr/>
      </w:r>
    </w:p>
    <w:sectPr xmlns:w="http://schemas.openxmlformats.org/wordprocessingml/2006/main" xmlns:r="http://schemas.openxmlformats.org/officeDocument/2006/relationships">
      <w:footerReference w:type="default" r:id="rId2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lledutableau"/>
      <w:tblW w:w="985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firstColumn="1" w:lastColumn="0" w:noHBand="0" w:lastRow="0" w:firstRow="1"/>
    </w:tblPr>
    <w:tblGrid>
      <w:gridCol w:w="6911"/>
      <w:gridCol w:w="2942"/>
    </w:tblGrid>
    <w:tr>
      <w:trPr/>
      <w:tc>
        <w:tcPr>
          <w:tcW w:w="6911" w:type="dxa"/>
          <w:tcBorders>
            <w:top w:val="single" w:sz="4" w:space="0" w:color="D9D9D9"/>
            <w:left w:val="nil"/>
            <w:bottom w:val="single" w:sz="4" w:space="0" w:color="D9D9D9"/>
            <w:right w:val="nil"/>
          </w:tcBorders>
          <w:shd w:color="auto" w:fill="auto" w:val="clear"/>
        </w:tcPr>
        <w:p>
          <w:pPr>
            <w:pStyle w:val="Pieddepage"/>
            <w:ind w:right="360" w:hanging="0"/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</w:pPr>
          <w:r>
            <mc:AlternateContent>
              <mc:Choice Requires="wps">
                <w:drawing>
                  <wp:anchor behindDoc="1" distT="0" distB="0" distL="0" distR="0" simplePos="0" locked="0" layoutInCell="1" allowOverlap="1" relativeHeight="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99695" cy="174625"/>
                    <wp:effectExtent l="0" t="0" r="0" b="0"/>
                    <wp:wrapSquare wrapText="largest"/>
                    <wp:docPr id="1" name="Cadre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9000" cy="17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Pieddepag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fldChar w:fldCharType="begin"/>
                                </w:r>
                                <w:r>
                                  <w:rPr/>
                                  <w:instrText> PAGE </w:instrText>
                                </w:r>
                                <w:r>
                                  <w:rPr/>
                                  <w:fldChar w:fldCharType="separate"/>
                                </w:r>
                                <w:r>
                                  <w:rPr/>
                                  <w:t>1</w:t>
                                </w:r>
                                <w:r>
                                  <w:rPr/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 t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Cadre1" stroked="f" style="position:absolute;margin-left:474.05pt;margin-top:0.05pt;width:7.75pt;height:13.65pt;mso-position-horizontal:right;mso-position-horizontal-relative:margin">
                    <w10:wrap type="square"/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  <w:t xml:space="preserve">Les représentants du personnel et la défense des salariés – </w:t>
          </w:r>
        </w:p>
        <w:p>
          <w:pPr>
            <w:pStyle w:val="Pieddepage"/>
            <w:ind w:right="360" w:hanging="0"/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</w:pPr>
          <w:r>
            <w:rPr>
              <w:rFonts w:ascii="Calibri" w:hAnsi="Calibri" w:asciiTheme="majorHAnsi" w:hAnsiTheme="majorHAnsi"/>
              <w:color w:val="A6A6A6" w:themeColor="background1" w:themeShade="a6"/>
              <w:lang w:val="fr-FR"/>
            </w:rPr>
            <w:t>© Editions Tissot</w:t>
          </w:r>
        </w:p>
      </w:tc>
      <w:tc>
        <w:tcPr>
          <w:tcW w:w="2942" w:type="dxa"/>
          <w:tcBorders>
            <w:top w:val="single" w:sz="4" w:space="0" w:color="D9D9D9"/>
            <w:left w:val="nil"/>
            <w:bottom w:val="single" w:sz="4" w:space="0" w:color="D9D9D9"/>
            <w:right w:val="nil"/>
          </w:tcBorders>
          <w:shd w:color="auto" w:fill="auto" w:val="clear"/>
        </w:tcPr>
        <w:p>
          <w:pPr>
            <w:pStyle w:val="Pieddepage"/>
            <w:jc w:val="right"/>
            <w:rPr>
              <w:lang w:val="fr-FR"/>
            </w:rPr>
          </w:pPr>
          <w:r>
            <w:rPr>
              <w:lang w:val="fr-FR"/>
            </w:rPr>
          </w:r>
        </w:p>
      </w:tc>
    </w:tr>
  </w:tbl>
  <w:p>
    <w:pPr>
      <w:pStyle w:val="Pieddepage"/>
      <w:rPr>
        <w:lang w:val="fr-FR"/>
      </w:rPr>
    </w:pPr>
    <w:r>
      <w:rPr>
        <w:lang w:val="fr-FR"/>
      </w:rPr>
    </w:r>
  </w:p>
  <w:p>
    <w:pPr>
      <w:pStyle w:val="Pieddepage"/>
      <w:rPr>
        <w:lang w:val="fr-FR"/>
      </w:rPr>
    </w:pPr>
    <w:r>
      <w:rPr>
        <w:lang w:val="fr-FR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417068">
    <w:multiLevelType w:val="hybridMultilevel"/>
    <w:lvl w:ilvl="0" w:tplc="76621109">
      <w:start w:val="1"/>
      <w:numFmt w:val="decimal"/>
      <w:lvlText w:val="%1."/>
      <w:lvlJc w:val="left"/>
      <w:pPr>
        <w:ind w:left="720" w:hanging="360"/>
      </w:pPr>
    </w:lvl>
    <w:lvl w:ilvl="1" w:tplc="76621109" w:tentative="1">
      <w:start w:val="1"/>
      <w:numFmt w:val="lowerLetter"/>
      <w:lvlText w:val="%2."/>
      <w:lvlJc w:val="left"/>
      <w:pPr>
        <w:ind w:left="1440" w:hanging="360"/>
      </w:pPr>
    </w:lvl>
    <w:lvl w:ilvl="2" w:tplc="76621109" w:tentative="1">
      <w:start w:val="1"/>
      <w:numFmt w:val="lowerRoman"/>
      <w:lvlText w:val="%3."/>
      <w:lvlJc w:val="right"/>
      <w:pPr>
        <w:ind w:left="2160" w:hanging="180"/>
      </w:pPr>
    </w:lvl>
    <w:lvl w:ilvl="3" w:tplc="76621109" w:tentative="1">
      <w:start w:val="1"/>
      <w:numFmt w:val="decimal"/>
      <w:lvlText w:val="%4."/>
      <w:lvlJc w:val="left"/>
      <w:pPr>
        <w:ind w:left="2880" w:hanging="360"/>
      </w:pPr>
    </w:lvl>
    <w:lvl w:ilvl="4" w:tplc="76621109" w:tentative="1">
      <w:start w:val="1"/>
      <w:numFmt w:val="lowerLetter"/>
      <w:lvlText w:val="%5."/>
      <w:lvlJc w:val="left"/>
      <w:pPr>
        <w:ind w:left="3600" w:hanging="360"/>
      </w:pPr>
    </w:lvl>
    <w:lvl w:ilvl="5" w:tplc="76621109" w:tentative="1">
      <w:start w:val="1"/>
      <w:numFmt w:val="lowerRoman"/>
      <w:lvlText w:val="%6."/>
      <w:lvlJc w:val="right"/>
      <w:pPr>
        <w:ind w:left="4320" w:hanging="180"/>
      </w:pPr>
    </w:lvl>
    <w:lvl w:ilvl="6" w:tplc="76621109" w:tentative="1">
      <w:start w:val="1"/>
      <w:numFmt w:val="decimal"/>
      <w:lvlText w:val="%7."/>
      <w:lvlJc w:val="left"/>
      <w:pPr>
        <w:ind w:left="5040" w:hanging="360"/>
      </w:pPr>
    </w:lvl>
    <w:lvl w:ilvl="7" w:tplc="76621109" w:tentative="1">
      <w:start w:val="1"/>
      <w:numFmt w:val="lowerLetter"/>
      <w:lvlText w:val="%8."/>
      <w:lvlJc w:val="left"/>
      <w:pPr>
        <w:ind w:left="5760" w:hanging="360"/>
      </w:pPr>
    </w:lvl>
    <w:lvl w:ilvl="8" w:tplc="76621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17067">
    <w:multiLevelType w:val="hybridMultilevel"/>
    <w:lvl w:ilvl="0" w:tplc="396056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417067">
    <w:abstractNumId w:val="41417067"/>
  </w:num>
  <w:num w:numId="41417068">
    <w:abstractNumId w:val="4141706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fr-FR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DejaVu Sans" w:cs="Lohit Hindi"/>
      <w:color w:val="00000A"/>
      <w:kern w:val="0"/>
      <w:sz w:val="24"/>
      <w:szCs w:val="24"/>
      <w:lang w:val="en-US" w:eastAsia="zh-CN" w:bidi="hi-IN"/>
    </w:rPr>
  </w:style>
  <w:style w:type="paragraph" w:styleId="Titre1">
    <w:name w:val="Heading 1"/>
    <w:basedOn w:val="Titre11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Titre11"/>
    <w:qFormat/>
    <w:pPr>
      <w:outlineLvl w:val="1"/>
    </w:pPr>
    <w:rPr>
      <w:b/>
      <w:bCs/>
      <w:i/>
      <w:iCs/>
    </w:rPr>
  </w:style>
  <w:style w:type="paragraph" w:styleId="Titre3">
    <w:name w:val="Heading 3"/>
    <w:basedOn w:val="Titre11"/>
    <w:qFormat/>
    <w:pPr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2ef7"/>
    <w:pPr>
      <w:keepNext w:val="true"/>
      <w:keepLines/>
      <w:spacing w:before="200" w:after="0"/>
      <w:outlineLvl w:val="3"/>
    </w:pPr>
    <w:rPr>
      <w:rFonts w:ascii="Calibri" w:hAnsi="Calibri" w:eastAsia="ＭＳ ゴシック" w:cs="Mangal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2b2a35"/>
    <w:rPr>
      <w:rFonts w:ascii="Times New Roman" w:hAnsi="Times New Roman" w:eastAsia="DejaVu Sans" w:cs="Lohit Hindi"/>
      <w:color w:val="00000A"/>
      <w:lang w:val="en-US" w:eastAsia="zh-CN" w:bidi="hi-IN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2b2a35"/>
    <w:rPr>
      <w:rFonts w:ascii="Times New Roman" w:hAnsi="Times New Roman" w:eastAsia="DejaVu Sans" w:cs="Lohit Hindi"/>
      <w:color w:val="00000A"/>
      <w:lang w:val="en-US" w:eastAsia="zh-CN" w:bidi="hi-IN"/>
    </w:rPr>
  </w:style>
  <w:style w:type="character" w:styleId="Pagenumber">
    <w:name w:val="page number"/>
    <w:basedOn w:val="DefaultParagraphFont"/>
    <w:uiPriority w:val="99"/>
    <w:semiHidden/>
    <w:unhideWhenUsed/>
    <w:qFormat/>
    <w:rsid w:val="002b2a35"/>
    <w:rPr/>
  </w:style>
  <w:style w:type="character" w:styleId="Titre4Car" w:customStyle="1">
    <w:name w:val="Titre 4 Car"/>
    <w:basedOn w:val="DefaultParagraphFont"/>
    <w:link w:val="Titre4"/>
    <w:uiPriority w:val="9"/>
    <w:qFormat/>
    <w:rsid w:val="00c82ef7"/>
    <w:rPr>
      <w:rFonts w:ascii="Calibri" w:hAnsi="Calibri" w:eastAsia="ＭＳ ゴシック" w:cs="Mangal" w:asciiTheme="majorHAnsi" w:eastAsiaTheme="majorEastAsia" w:hAnsiTheme="majorHAnsi"/>
      <w:b/>
      <w:bCs/>
      <w:i/>
      <w:iCs/>
      <w:color w:val="4F81BD" w:themeColor="accent1"/>
      <w:szCs w:val="21"/>
      <w:lang w:val="en-US" w:eastAsia="zh-CN" w:bidi="hi-IN"/>
    </w:rPr>
  </w:style>
  <w:style w:type="character" w:styleId="SubtleEmphasis">
    <w:name w:val="Subtle Emphasis"/>
    <w:basedOn w:val="DefaultParagraphFont"/>
    <w:uiPriority w:val="19"/>
    <w:qFormat/>
    <w:rsid w:val="00c82ef7"/>
    <w:rPr>
      <w:i/>
      <w:iCs/>
      <w:color w:val="808080" w:themeColor="text1" w:themeTint="7f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 w:customStyle="1">
    <w:name w:val="Text Body"/>
    <w:basedOn w:val="Normal"/>
    <w:qFormat/>
    <w:pPr>
      <w:spacing w:before="0" w:after="120"/>
    </w:pPr>
    <w:rPr/>
  </w:style>
  <w:style w:type="paragraph" w:styleId="Citations" w:customStyle="1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11"/>
    <w:qFormat/>
    <w:pPr>
      <w:jc w:val="center"/>
    </w:pPr>
    <w:rPr>
      <w:b/>
      <w:bCs/>
      <w:sz w:val="36"/>
      <w:szCs w:val="36"/>
    </w:rPr>
  </w:style>
  <w:style w:type="paragraph" w:styleId="Soustitre">
    <w:name w:val="Subtitle"/>
    <w:basedOn w:val="Titre11"/>
    <w:qFormat/>
    <w:pPr>
      <w:jc w:val="center"/>
    </w:pPr>
    <w:rPr>
      <w:i/>
      <w:iCs/>
    </w:rPr>
  </w:style>
  <w:style w:type="paragraph" w:styleId="Texteprformat" w:customStyle="1">
    <w:name w:val="Texte préformaté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2b2a3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2b2a3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b2a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Relationship Id="rId599030281" Type="http://schemas.openxmlformats.org/officeDocument/2006/relationships/numbering" Target="numbering.xml"/><Relationship Id="rId381426616" Type="http://schemas.openxmlformats.org/officeDocument/2006/relationships/footnotes" Target="footnotes.xml"/><Relationship Id="rId640942075" Type="http://schemas.openxmlformats.org/officeDocument/2006/relationships/endnotes" Target="endnotes.xml"/><Relationship Id="rId760646934" Type="http://schemas.openxmlformats.org/officeDocument/2006/relationships/comments" Target="comments.xml"/><Relationship Id="rId918118669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LibreOffice/6.3.3.2.0$Linux_X86_64 LibreOffice_project/30$Build-2</Application>
  <Pages>1</Pages>
  <Words>33</Words>
  <Characters>269</Characters>
  <CharactersWithSpaces>290</CharactersWithSpaces>
  <Paragraphs>14</Paragraphs>
  <Company>Kowoli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2019-11-14T09:12:00Z</dcterms:created>
  <dc:creator>Mathias Marrillet</dc:creator>
  <dc:description/>
  <dc:language>fr-FR</dc:language>
  <cp:lastModifiedBy/>
  <cp:lastPrinted>2015-01-27T14:02:00Z</cp:lastPrinted>
  <dcterms:modified xsi:type="dcterms:W3CDTF">2019-11-14T10:25:31Z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Kowoli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