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4"/>
        <w:spacing w:before="200" w:after="0"/>
        <w:rPr/>
      </w:pPr>
      <w:r>
        <w:rPr>
          <w:lang w:val="fr-FR"/>
        </w:rPr>
        <w:t>Questions / réponses</w:t>
      </w:r>
    </w:p>
    <w:p>
      <w:pPr>
        <w:pStyle w:val="TextBody"/>
        <w:spacing w:before="240" w:after="120"/>
        <w:rPr>
          <w:rStyle w:val="SubtleEmphasis"/>
          <w:color w:val="00000A"/>
          <w:lang w:val="fr-FR"/>
        </w:rPr>
      </w:pPr>
      <w:r>
        <w:rPr>
          <w:rStyle w:val="SubtleEmphasis"/>
          <w:color w:val="00000A"/>
          <w:lang w:val="fr-FR"/>
        </w:rPr>
        <w:t>Référence Internet : RDS.01.1.105</w:t>
      </w:r>
    </w:p>
    <w:p>
      <w:pPr>
        <w:pStyle w:val="TextBody"/>
        <w:spacing w:before="240" w:after="120"/>
        <w:rPr>
          <w:rFonts w:ascii="Calibri" w:hAnsi="Calibri"/>
          <w:color w:val="000000"/>
          <w:sz w:val="29"/>
          <w:lang w:val="fr-FR"/>
        </w:rPr>
      </w:pPr>
      <w:r>
        <w:rPr>
          <w:rFonts w:ascii="Calibri" w:hAnsi="Calibri"/>
          <w:color w:val="000000"/>
          <w:sz w:val="29"/>
          <w:lang w:val="fr-FR"/>
        </w:rPr>
      </w:r>
    </w:p>
    <w:p>
      <w:pPr>
        <w:pStyle w:val="TextBody"/>
        <w:spacing w:lineRule="atLeast" w:line="100" w:before="0" w:after="200"/>
        <w:rPr/>
      </w:pPr>
      <w:r>
        <w:rPr>
          <w:rFonts w:ascii="Calibri" w:hAnsi="Calibri"/>
          <w:b/>
          <w:sz w:val="40"/>
          <w:szCs w:val="40"/>
          <w:lang w:val="fr-FR"/>
        </w:rPr>
        <w:t>La prise de congés payés ou de RTT prolonge-t-elle la période d’essai ?</w:t>
      </w:r>
    </w:p>
    <w:p>
      <w:pPr>
        <w:pStyle w:val="TextBody"/>
        <w:spacing w:lineRule="atLeast" w:line="100" w:before="0" w:after="200"/>
        <w:rPr>
          <w:rFonts w:ascii="Calibri" w:hAnsi="Calibri"/>
          <w:b/>
          <w:b/>
          <w:color w:val="000000"/>
          <w:sz w:val="23"/>
          <w:lang w:val="fr-FR"/>
        </w:rPr>
      </w:pPr>
      <w:r>
        <w:rPr>
          <w:rFonts w:ascii="Calibri" w:hAnsi="Calibri"/>
          <w:b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Réponse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sz w:val="24"/>
          <w:szCs w:val="24"/>
        </w:rPr>
        <w:t xml:space="preserve">période d'essai</w:t>
      </w:r>
      <w:r>
        <w:rPr>
          <w:color w:val="000000"/>
          <w:sz w:val="24"/>
          <w:szCs w:val="24"/>
        </w:rPr>
        <w:t xml:space="preserve"> devant permettre à l'employeur de vérifier les aptitudes du salarié, cette vérification ne peut valablement s'opérer que si ce dernier travaille effectivement pendant toute la durée fixée comme </w:t>
      </w:r>
      <w:r>
        <w:rPr>
          <w:i/>
          <w:iCs/>
          <w:color w:val="000000"/>
          <w:sz w:val="24"/>
          <w:szCs w:val="24"/>
        </w:rPr>
        <w:t xml:space="preserve">période d'essai</w:t>
      </w:r>
      <w:r>
        <w:rPr>
          <w:color w:val="000000"/>
          <w:sz w:val="24"/>
          <w:szCs w:val="24"/>
        </w:rPr>
        <w:t xml:space="preserve">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Or, si le salarié est absent pour cause de </w:t>
      </w:r>
      <w:r>
        <w:rPr>
          <w:b/>
          <w:bCs/>
          <w:color w:val="000000"/>
          <w:sz w:val="24"/>
          <w:szCs w:val="24"/>
        </w:rPr>
        <w:t xml:space="preserve">congés</w:t>
      </w:r>
      <w:r>
        <w:rPr>
          <w:color w:val="000000"/>
          <w:sz w:val="24"/>
          <w:szCs w:val="24"/>
        </w:rPr>
        <w:t xml:space="preserve"> payés ou de RTT au cours de sa période d'essai, c'est autant de temps en moins permettant à l'employeur de se faire une idée quant à ses compétences.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La période d'essai permet également au salarié d'apprécier, une fois dans l'entreprise, si les conditions de travail lui conviennent et si le poste est conforme à ses aspirations. Or, s'il est absent, il ne peut pas s'en rendre compte.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C'est pourquoi la période d'essai peut être prolongée en cas de prise de CP ou de RTT.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En l'absence de dispositions conventionnelles ou contractuelles différentes, la prolongation doit correspondre au nombre de jours calendaires compris dans la période d'absence.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Intervention des RP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Les représentants du personnel ne jouent pas de rôle particulier dans le déroulement de la période d'essai. Si toutefois les modalités d'application de celle-ci sont illégales, abusives ou non conformes aux dispositions conventionnelles applicables dans l'entreprise, ils peuvent intervenir auprès de ce dernier et conseiller le salarié.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Textes officiels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Cass. soc., 11 septembre 2019, n° 17-21.976 (RTT et période d'essai)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Contenus connexes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RDS.01.1.100 - La maladie prolonge-t-elle la période d’essai ?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spacing w:before="0" w:after="120"/>
        <w:rPr/>
      </w:pPr>
      <w:r>
        <w:rPr/>
      </w:r>
    </w:p>
    <w:sectPr xmlns:w="http://schemas.openxmlformats.org/wordprocessingml/2006/main" xmlns:r="http://schemas.openxmlformats.org/officeDocument/2006/relationships">
      <w:footerReference w:type="default" r:id="rId2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lledutableau"/>
      <w:tblW w:w="985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firstColumn="1" w:lastColumn="0" w:noHBand="0" w:lastRow="0" w:firstRow="1"/>
    </w:tblPr>
    <w:tblGrid>
      <w:gridCol w:w="6911"/>
      <w:gridCol w:w="2942"/>
    </w:tblGrid>
    <w:tr>
      <w:trPr/>
      <w:tc>
        <w:tcPr>
          <w:tcW w:w="6911" w:type="dxa"/>
          <w:tcBorders>
            <w:top w:val="single" w:sz="4" w:space="0" w:color="D9D9D9"/>
            <w:left w:val="nil"/>
            <w:bottom w:val="single" w:sz="4" w:space="0" w:color="D9D9D9"/>
            <w:right w:val="nil"/>
          </w:tcBorders>
          <w:shd w:color="auto" w:fill="auto" w:val="clear"/>
        </w:tcPr>
        <w:p>
          <w:pPr>
            <w:pStyle w:val="Pieddepage"/>
            <w:ind w:right="360" w:hanging="0"/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</w:pPr>
          <w:r>
            <mc:AlternateContent>
              <mc:Choice Requires="wps">
                <w:drawing>
                  <wp:anchor behindDoc="1" distT="0" distB="0" distL="0" distR="0" simplePos="0" locked="0" layoutInCell="1" allowOverlap="1" relativeHeight="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99695" cy="174625"/>
                    <wp:effectExtent l="0" t="0" r="0" b="0"/>
                    <wp:wrapSquare wrapText="largest"/>
                    <wp:docPr id="1" name="Cadre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9000" cy="17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Pieddepag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fldChar w:fldCharType="begin"/>
                                </w:r>
                                <w:r>
                                  <w:rPr/>
                                  <w:instrText> PAGE </w:instrText>
                                </w:r>
                                <w:r>
                                  <w:rPr/>
                                  <w:fldChar w:fldCharType="separate"/>
                                </w:r>
                                <w:r>
                                  <w:rPr/>
                                  <w:t>1</w:t>
                                </w:r>
                                <w:r>
                                  <w:rPr/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 t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Cadre1" stroked="f" style="position:absolute;margin-left:474.05pt;margin-top:0.05pt;width:7.75pt;height:13.65pt;mso-position-horizontal:right;mso-position-horizontal-relative:margin">
                    <w10:wrap type="squar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  <w:t xml:space="preserve">Les représentants du personnel et la défense des salariés – </w:t>
          </w:r>
        </w:p>
        <w:p>
          <w:pPr>
            <w:pStyle w:val="Pieddepage"/>
            <w:ind w:right="360" w:hanging="0"/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</w:pPr>
          <w:r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  <w:t>© Editions Tissot</w:t>
          </w:r>
        </w:p>
      </w:tc>
      <w:tc>
        <w:tcPr>
          <w:tcW w:w="2942" w:type="dxa"/>
          <w:tcBorders>
            <w:top w:val="single" w:sz="4" w:space="0" w:color="D9D9D9"/>
            <w:left w:val="nil"/>
            <w:bottom w:val="single" w:sz="4" w:space="0" w:color="D9D9D9"/>
            <w:right w:val="nil"/>
          </w:tcBorders>
          <w:shd w:color="auto" w:fill="auto" w:val="clear"/>
        </w:tcPr>
        <w:p>
          <w:pPr>
            <w:pStyle w:val="Pieddepage"/>
            <w:jc w:val="right"/>
            <w:rPr>
              <w:lang w:val="fr-FR"/>
            </w:rPr>
          </w:pPr>
          <w:r>
            <w:rPr>
              <w:lang w:val="fr-FR"/>
            </w:rPr>
          </w:r>
        </w:p>
      </w:tc>
    </w:tr>
  </w:tbl>
  <w:p>
    <w:pPr>
      <w:pStyle w:val="Pieddepage"/>
      <w:rPr>
        <w:lang w:val="fr-FR"/>
      </w:rPr>
    </w:pPr>
    <w:r>
      <w:rPr>
        <w:lang w:val="fr-FR"/>
      </w:rPr>
    </w:r>
  </w:p>
  <w:p>
    <w:pPr>
      <w:pStyle w:val="Pieddepage"/>
      <w:rPr>
        <w:lang w:val="fr-FR"/>
      </w:rPr>
    </w:pPr>
    <w:r>
      <w:rPr>
        <w:lang w:val="fr-FR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00543">
    <w:multiLevelType w:val="hybridMultilevel"/>
    <w:lvl w:ilvl="0" w:tplc="30258613">
      <w:start w:val="1"/>
      <w:numFmt w:val="decimal"/>
      <w:lvlText w:val="%1."/>
      <w:lvlJc w:val="left"/>
      <w:pPr>
        <w:ind w:left="720" w:hanging="360"/>
      </w:pPr>
    </w:lvl>
    <w:lvl w:ilvl="1" w:tplc="30258613" w:tentative="1">
      <w:start w:val="1"/>
      <w:numFmt w:val="lowerLetter"/>
      <w:lvlText w:val="%2."/>
      <w:lvlJc w:val="left"/>
      <w:pPr>
        <w:ind w:left="1440" w:hanging="360"/>
      </w:pPr>
    </w:lvl>
    <w:lvl w:ilvl="2" w:tplc="30258613" w:tentative="1">
      <w:start w:val="1"/>
      <w:numFmt w:val="lowerRoman"/>
      <w:lvlText w:val="%3."/>
      <w:lvlJc w:val="right"/>
      <w:pPr>
        <w:ind w:left="2160" w:hanging="180"/>
      </w:pPr>
    </w:lvl>
    <w:lvl w:ilvl="3" w:tplc="30258613" w:tentative="1">
      <w:start w:val="1"/>
      <w:numFmt w:val="decimal"/>
      <w:lvlText w:val="%4."/>
      <w:lvlJc w:val="left"/>
      <w:pPr>
        <w:ind w:left="2880" w:hanging="360"/>
      </w:pPr>
    </w:lvl>
    <w:lvl w:ilvl="4" w:tplc="30258613" w:tentative="1">
      <w:start w:val="1"/>
      <w:numFmt w:val="lowerLetter"/>
      <w:lvlText w:val="%5."/>
      <w:lvlJc w:val="left"/>
      <w:pPr>
        <w:ind w:left="3600" w:hanging="360"/>
      </w:pPr>
    </w:lvl>
    <w:lvl w:ilvl="5" w:tplc="30258613" w:tentative="1">
      <w:start w:val="1"/>
      <w:numFmt w:val="lowerRoman"/>
      <w:lvlText w:val="%6."/>
      <w:lvlJc w:val="right"/>
      <w:pPr>
        <w:ind w:left="4320" w:hanging="180"/>
      </w:pPr>
    </w:lvl>
    <w:lvl w:ilvl="6" w:tplc="30258613" w:tentative="1">
      <w:start w:val="1"/>
      <w:numFmt w:val="decimal"/>
      <w:lvlText w:val="%7."/>
      <w:lvlJc w:val="left"/>
      <w:pPr>
        <w:ind w:left="5040" w:hanging="360"/>
      </w:pPr>
    </w:lvl>
    <w:lvl w:ilvl="7" w:tplc="30258613" w:tentative="1">
      <w:start w:val="1"/>
      <w:numFmt w:val="lowerLetter"/>
      <w:lvlText w:val="%8."/>
      <w:lvlJc w:val="left"/>
      <w:pPr>
        <w:ind w:left="5760" w:hanging="360"/>
      </w:pPr>
    </w:lvl>
    <w:lvl w:ilvl="8" w:tplc="30258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00542">
    <w:multiLevelType w:val="hybridMultilevel"/>
    <w:lvl w:ilvl="0" w:tplc="91308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00542">
    <w:abstractNumId w:val="11700542"/>
  </w:num>
  <w:num w:numId="11700543">
    <w:abstractNumId w:val="1170054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fr-FR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en-US" w:eastAsia="zh-CN" w:bidi="hi-IN"/>
    </w:rPr>
  </w:style>
  <w:style w:type="paragraph" w:styleId="Titre1">
    <w:name w:val="Heading 1"/>
    <w:basedOn w:val="Titre11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Titre11"/>
    <w:qFormat/>
    <w:pPr>
      <w:outlineLvl w:val="1"/>
    </w:pPr>
    <w:rPr>
      <w:b/>
      <w:bCs/>
      <w:i/>
      <w:iCs/>
    </w:rPr>
  </w:style>
  <w:style w:type="paragraph" w:styleId="Titre3">
    <w:name w:val="Heading 3"/>
    <w:basedOn w:val="Titre11"/>
    <w:qFormat/>
    <w:pP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2ef7"/>
    <w:pPr>
      <w:keepNext w:val="true"/>
      <w:keepLines/>
      <w:spacing w:before="200" w:after="0"/>
      <w:outlineLvl w:val="3"/>
    </w:pPr>
    <w:rPr>
      <w:rFonts w:ascii="Calibri" w:hAnsi="Calibri" w:eastAsia="ＭＳ ゴシック" w:cs="Mangal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2b2a35"/>
    <w:rPr>
      <w:rFonts w:ascii="Times New Roman" w:hAnsi="Times New Roman" w:eastAsia="DejaVu Sans" w:cs="Lohit Hindi"/>
      <w:color w:val="00000A"/>
      <w:lang w:val="en-US" w:eastAsia="zh-CN" w:bidi="hi-IN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2b2a35"/>
    <w:rPr>
      <w:rFonts w:ascii="Times New Roman" w:hAnsi="Times New Roman" w:eastAsia="DejaVu Sans" w:cs="Lohit Hindi"/>
      <w:color w:val="00000A"/>
      <w:lang w:val="en-US" w:eastAsia="zh-CN" w:bidi="hi-IN"/>
    </w:rPr>
  </w:style>
  <w:style w:type="character" w:styleId="Pagenumber">
    <w:name w:val="page number"/>
    <w:basedOn w:val="DefaultParagraphFont"/>
    <w:uiPriority w:val="99"/>
    <w:semiHidden/>
    <w:unhideWhenUsed/>
    <w:qFormat/>
    <w:rsid w:val="002b2a35"/>
    <w:rPr/>
  </w:style>
  <w:style w:type="character" w:styleId="Titre4Car" w:customStyle="1">
    <w:name w:val="Titre 4 Car"/>
    <w:basedOn w:val="DefaultParagraphFont"/>
    <w:link w:val="Titre4"/>
    <w:uiPriority w:val="9"/>
    <w:qFormat/>
    <w:rsid w:val="00c82ef7"/>
    <w:rPr>
      <w:rFonts w:ascii="Calibri" w:hAnsi="Calibri" w:eastAsia="ＭＳ ゴシック" w:cs="Mangal" w:asciiTheme="majorHAnsi" w:eastAsiaTheme="majorEastAsia" w:hAnsiTheme="majorHAnsi"/>
      <w:b/>
      <w:bCs/>
      <w:i/>
      <w:iCs/>
      <w:color w:val="4F81BD" w:themeColor="accent1"/>
      <w:szCs w:val="21"/>
      <w:lang w:val="en-US" w:eastAsia="zh-CN" w:bidi="hi-IN"/>
    </w:rPr>
  </w:style>
  <w:style w:type="character" w:styleId="SubtleEmphasis">
    <w:name w:val="Subtle Emphasis"/>
    <w:basedOn w:val="DefaultParagraphFont"/>
    <w:uiPriority w:val="19"/>
    <w:qFormat/>
    <w:rsid w:val="00c82ef7"/>
    <w:rPr>
      <w:i/>
      <w:iCs/>
      <w:color w:val="808080" w:themeColor="text1" w:themeTint="7f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 w:customStyle="1">
    <w:name w:val="Text Body"/>
    <w:basedOn w:val="Normal"/>
    <w:qFormat/>
    <w:pPr>
      <w:spacing w:before="0" w:after="120"/>
    </w:pPr>
    <w:rPr/>
  </w:style>
  <w:style w:type="paragraph" w:styleId="Citations" w:customStyle="1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11"/>
    <w:qFormat/>
    <w:pPr>
      <w:jc w:val="center"/>
    </w:pPr>
    <w:rPr>
      <w:b/>
      <w:bCs/>
      <w:sz w:val="36"/>
      <w:szCs w:val="36"/>
    </w:rPr>
  </w:style>
  <w:style w:type="paragraph" w:styleId="Soustitre">
    <w:name w:val="Subtitle"/>
    <w:basedOn w:val="Titre11"/>
    <w:qFormat/>
    <w:pPr>
      <w:jc w:val="center"/>
    </w:pPr>
    <w:rPr>
      <w:i/>
      <w:iCs/>
    </w:rPr>
  </w:style>
  <w:style w:type="paragraph" w:styleId="Texteprformat" w:customStyle="1">
    <w:name w:val="Texte préformaté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2b2a3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2b2a3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b2a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Relationship Id="rId601660147" Type="http://schemas.openxmlformats.org/officeDocument/2006/relationships/numbering" Target="numbering.xml"/><Relationship Id="rId974044296" Type="http://schemas.openxmlformats.org/officeDocument/2006/relationships/footnotes" Target="footnotes.xml"/><Relationship Id="rId635572981" Type="http://schemas.openxmlformats.org/officeDocument/2006/relationships/endnotes" Target="endnotes.xml"/><Relationship Id="rId759058654" Type="http://schemas.openxmlformats.org/officeDocument/2006/relationships/comments" Target="comments.xml"/><Relationship Id="rId654853829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LibreOffice/6.3.3.2.0$Linux_X86_64 LibreOffice_project/30$Build-2</Application>
  <Pages>1</Pages>
  <Words>33</Words>
  <Characters>269</Characters>
  <CharactersWithSpaces>290</CharactersWithSpaces>
  <Paragraphs>14</Paragraphs>
  <Company>Kowoli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2019-11-14T09:12:00Z</dcterms:created>
  <dc:creator>Mathias Marrillet</dc:creator>
  <dc:description/>
  <dc:language>fr-FR</dc:language>
  <cp:lastModifiedBy/>
  <cp:lastPrinted>2015-01-27T14:02:00Z</cp:lastPrinted>
  <dcterms:modified xsi:type="dcterms:W3CDTF">2019-11-14T10:25:31Z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Kowoli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